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AF1D" w14:textId="77777777" w:rsidR="00F44D07" w:rsidRPr="00F44D07" w:rsidRDefault="00F44D07" w:rsidP="00F44D0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44D07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677CA98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012180" cy="1424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424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8C8D4" id="Rectangle 1" o:spid="_x0000_s1026" style="position:absolute;margin-left:-1.8pt;margin-top:5.4pt;width:473.4pt;height:11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" fillcolor="#deebf7" strokecolor="#4472c4" strokeweight="1pt"/>
            </w:pict>
          </mc:Fallback>
        </mc:AlternateContent>
      </w: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MyHACCP Hazard Factsheet</w:t>
      </w:r>
    </w:p>
    <w:p w14:paraId="4C609605" w14:textId="77777777" w:rsidR="00F44D07" w:rsidRPr="00F44D07" w:rsidRDefault="00F44D07" w:rsidP="00F44D07"/>
    <w:p w14:paraId="30681748" w14:textId="24AB6D48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CATEGORY: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63A2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Chemical</w:t>
      </w:r>
    </w:p>
    <w:p w14:paraId="2451FA5A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7FE1653" w14:textId="20B4FC8A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NAME: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63A20" w:rsidRPr="00363A2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Patulin</w:t>
      </w:r>
    </w:p>
    <w:p w14:paraId="69AB60DE" w14:textId="77777777" w:rsidR="00F44D07" w:rsidRPr="00F44D07" w:rsidRDefault="00F44D07" w:rsidP="00F44D07"/>
    <w:p w14:paraId="6EB00215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General Information</w:t>
      </w:r>
    </w:p>
    <w:p w14:paraId="2A5C80EC" w14:textId="0EA4A3F3" w:rsidR="00F44D07" w:rsidRDefault="00FA5876" w:rsidP="00B17468">
      <w:r>
        <w:t xml:space="preserve">Patulin is a chemical contaminant which is produced by mainly </w:t>
      </w:r>
      <w:r w:rsidRPr="00FA5876">
        <w:rPr>
          <w:i/>
        </w:rPr>
        <w:t xml:space="preserve">Penicillium </w:t>
      </w:r>
      <w:r>
        <w:t xml:space="preserve">and </w:t>
      </w:r>
      <w:r w:rsidRPr="00FA5876">
        <w:rPr>
          <w:i/>
        </w:rPr>
        <w:t>Aspergillus</w:t>
      </w:r>
      <w:r>
        <w:t xml:space="preserve"> species of fungi. It is therefore asso</w:t>
      </w:r>
      <w:r w:rsidR="00005482">
        <w:t xml:space="preserve">ciated with mouldy food and in particular </w:t>
      </w:r>
      <w:r>
        <w:t>apples</w:t>
      </w:r>
      <w:r w:rsidR="00005482">
        <w:t>.</w:t>
      </w:r>
    </w:p>
    <w:p w14:paraId="74557CE0" w14:textId="77777777" w:rsidR="00005482" w:rsidRPr="00B17468" w:rsidRDefault="00005482" w:rsidP="00B17468"/>
    <w:p w14:paraId="39CAA597" w14:textId="77777777" w:rsid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Common sources</w:t>
      </w:r>
    </w:p>
    <w:p w14:paraId="5A2EB34A" w14:textId="77777777" w:rsidR="00005482" w:rsidRPr="00F44D07" w:rsidRDefault="00005482" w:rsidP="00005482">
      <w:pPr>
        <w:ind w:left="360"/>
        <w:contextualSpacing/>
        <w:rPr>
          <w:b/>
        </w:rPr>
      </w:pPr>
    </w:p>
    <w:p w14:paraId="2E3F731D" w14:textId="5F13F82E" w:rsidR="00F44D07" w:rsidRPr="00F44D07" w:rsidRDefault="00F44D07" w:rsidP="00F44D07">
      <w:r w:rsidRPr="00F44D07">
        <w:t>You must consider</w:t>
      </w:r>
      <w:r w:rsidR="004A724B" w:rsidRPr="00F975E7">
        <w:t xml:space="preserve"> </w:t>
      </w:r>
      <w:r w:rsidR="00F975E7" w:rsidRPr="00F975E7">
        <w:t>Patulin</w:t>
      </w:r>
      <w:r w:rsidR="00F975E7">
        <w:rPr>
          <w:i/>
        </w:rPr>
        <w:t xml:space="preserve"> </w:t>
      </w:r>
      <w:r w:rsidRPr="00F44D07">
        <w:t>to be a hazard associated with the following foods:</w:t>
      </w:r>
    </w:p>
    <w:p w14:paraId="41AFCA43" w14:textId="09533A97" w:rsidR="004A724B" w:rsidRPr="00F975E7" w:rsidRDefault="00F975E7" w:rsidP="00F975E7">
      <w:pPr>
        <w:numPr>
          <w:ilvl w:val="0"/>
          <w:numId w:val="2"/>
        </w:numPr>
        <w:contextualSpacing/>
        <w:rPr>
          <w:b/>
        </w:rPr>
      </w:pPr>
      <w:r>
        <w:t>Apple juice</w:t>
      </w:r>
    </w:p>
    <w:p w14:paraId="2A513B0D" w14:textId="59C2101B" w:rsidR="00F975E7" w:rsidRPr="00005482" w:rsidRDefault="00005482" w:rsidP="00F975E7">
      <w:pPr>
        <w:numPr>
          <w:ilvl w:val="0"/>
          <w:numId w:val="2"/>
        </w:numPr>
        <w:contextualSpacing/>
        <w:rPr>
          <w:b/>
        </w:rPr>
      </w:pPr>
      <w:r>
        <w:t>Products containing apple juice</w:t>
      </w:r>
    </w:p>
    <w:p w14:paraId="0A9D90A0" w14:textId="4A2D1B91" w:rsidR="00005482" w:rsidRPr="00F975E7" w:rsidRDefault="00005482" w:rsidP="00F975E7">
      <w:pPr>
        <w:numPr>
          <w:ilvl w:val="0"/>
          <w:numId w:val="2"/>
        </w:numPr>
        <w:contextualSpacing/>
        <w:rPr>
          <w:b/>
        </w:rPr>
      </w:pPr>
      <w:r>
        <w:t>Orange juice</w:t>
      </w:r>
    </w:p>
    <w:p w14:paraId="7DD67388" w14:textId="77777777" w:rsidR="00F975E7" w:rsidRPr="00F44D07" w:rsidRDefault="00F975E7" w:rsidP="00F975E7">
      <w:pPr>
        <w:ind w:left="720"/>
        <w:contextualSpacing/>
        <w:rPr>
          <w:b/>
        </w:rPr>
      </w:pPr>
    </w:p>
    <w:p w14:paraId="54C83881" w14:textId="77777777" w:rsid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Properties and common controls</w:t>
      </w:r>
    </w:p>
    <w:p w14:paraId="1005E8A7" w14:textId="77777777" w:rsidR="00005482" w:rsidRPr="00F44D07" w:rsidRDefault="00005482" w:rsidP="00005482">
      <w:pPr>
        <w:ind w:left="360"/>
        <w:contextualSpacing/>
        <w:rPr>
          <w:b/>
        </w:rPr>
      </w:pPr>
    </w:p>
    <w:p w14:paraId="4D80E6C0" w14:textId="08099DF1" w:rsidR="00F44D07" w:rsidRDefault="00714139" w:rsidP="00F975E7">
      <w:pPr>
        <w:contextualSpacing/>
      </w:pPr>
      <w:r>
        <w:t xml:space="preserve">The </w:t>
      </w:r>
      <w:r w:rsidR="00005482">
        <w:t>toxin is produced in mouldy food and the removal of visibly mouldy apples as part of a pre-requisite programme will significantly reduce the hazard. The toxin is heat stable and so heat treatment alone will not be a sufficient control.</w:t>
      </w:r>
    </w:p>
    <w:p w14:paraId="600702F7" w14:textId="77777777" w:rsidR="00005482" w:rsidRDefault="00005482" w:rsidP="00F975E7">
      <w:pPr>
        <w:contextualSpacing/>
      </w:pPr>
    </w:p>
    <w:p w14:paraId="2AD20D00" w14:textId="5DB66BAF" w:rsidR="00005482" w:rsidRDefault="00005482" w:rsidP="00F975E7">
      <w:pPr>
        <w:contextualSpacing/>
      </w:pPr>
      <w:r>
        <w:t>The pre-requisite programme should focus on the prevention of mould growth by appropriate transportation and storage of raw materials and finished products.</w:t>
      </w:r>
      <w:bookmarkStart w:id="0" w:name="_GoBack"/>
      <w:bookmarkEnd w:id="0"/>
    </w:p>
    <w:p w14:paraId="028612C8" w14:textId="140318B4" w:rsidR="00FA5876" w:rsidRDefault="00FA5876" w:rsidP="00F975E7">
      <w:pPr>
        <w:contextualSpacing/>
      </w:pPr>
    </w:p>
    <w:p w14:paraId="4D5D6BF3" w14:textId="11856C8F" w:rsidR="00FA5876" w:rsidRPr="00F44D07" w:rsidRDefault="00FA5876" w:rsidP="00F975E7">
      <w:pPr>
        <w:contextualSpacing/>
      </w:pPr>
      <w:r>
        <w:t>Alcoholic fermentation destroys patulin and so this will not be a hazard in cider, Perry or similar alcoholic beverages.</w:t>
      </w:r>
    </w:p>
    <w:p w14:paraId="65213EBF" w14:textId="77777777" w:rsidR="00F44D07" w:rsidRPr="00F44D07" w:rsidRDefault="00F44D07" w:rsidP="00F44D07">
      <w:pPr>
        <w:contextualSpacing/>
      </w:pPr>
    </w:p>
    <w:p w14:paraId="6458749E" w14:textId="7E563488" w:rsidR="00B17468" w:rsidRDefault="00F44D07" w:rsidP="0019550B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References</w:t>
      </w:r>
    </w:p>
    <w:p w14:paraId="15DF3891" w14:textId="77777777" w:rsidR="009B55A8" w:rsidRDefault="009B55A8" w:rsidP="009B55A8">
      <w:pPr>
        <w:ind w:left="360"/>
        <w:contextualSpacing/>
        <w:rPr>
          <w:b/>
        </w:rPr>
      </w:pPr>
    </w:p>
    <w:p w14:paraId="2D00759B" w14:textId="77777777" w:rsidR="00F975E7" w:rsidRDefault="00F975E7" w:rsidP="00F975E7">
      <w:pPr>
        <w:contextualSpacing/>
      </w:pPr>
      <w:r w:rsidRPr="00F975E7">
        <w:rPr>
          <w:i/>
        </w:rPr>
        <w:t>Codex alimentarius</w:t>
      </w:r>
      <w:r>
        <w:t xml:space="preserve"> guidance</w:t>
      </w:r>
    </w:p>
    <w:p w14:paraId="7A51B039" w14:textId="2AFB0632" w:rsidR="009B55A8" w:rsidRDefault="00F975E7" w:rsidP="00F975E7">
      <w:pPr>
        <w:contextualSpacing/>
      </w:pPr>
      <w:r>
        <w:t xml:space="preserve"> </w:t>
      </w:r>
      <w:hyperlink r:id="rId11" w:history="1">
        <w:r w:rsidRPr="00D47681">
          <w:rPr>
            <w:rStyle w:val="Hyperlink"/>
          </w:rPr>
          <w:t>http://www.fao.org/fao-who-codexalimentarius/sh-proxy/en/?lnk=1&amp;url=https%253A%252F%252Fworkspace.fao.org%252Fsites%252Fcodex%252FStandards%252FCAC%2BRCP%2B50-2003%252FCXP_050e.pdf</w:t>
        </w:r>
      </w:hyperlink>
      <w:r>
        <w:t xml:space="preserve"> </w:t>
      </w:r>
    </w:p>
    <w:p w14:paraId="48264FEA" w14:textId="77777777" w:rsidR="009B55A8" w:rsidRPr="009B55A8" w:rsidRDefault="009B55A8" w:rsidP="009B55A8">
      <w:pPr>
        <w:contextualSpacing/>
      </w:pPr>
    </w:p>
    <w:p w14:paraId="10E00CC2" w14:textId="77777777" w:rsidR="009B55A8" w:rsidRPr="009B55A8" w:rsidRDefault="009B55A8" w:rsidP="009B55A8">
      <w:pPr>
        <w:ind w:left="360"/>
        <w:contextualSpacing/>
        <w:rPr>
          <w:b/>
        </w:rPr>
      </w:pPr>
    </w:p>
    <w:sectPr w:rsidR="009B55A8" w:rsidRPr="009B55A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04DA" w14:textId="77777777" w:rsidR="001F3BAF" w:rsidRDefault="001F3BAF" w:rsidP="001F3BAF">
      <w:pPr>
        <w:spacing w:after="0" w:line="240" w:lineRule="auto"/>
      </w:pPr>
      <w:r>
        <w:separator/>
      </w:r>
    </w:p>
  </w:endnote>
  <w:endnote w:type="continuationSeparator" w:id="0">
    <w:p w14:paraId="34D455AE" w14:textId="77777777" w:rsidR="001F3BAF" w:rsidRDefault="001F3BAF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AF39" w14:textId="77777777" w:rsidR="001F3BAF" w:rsidRDefault="001F3BAF" w:rsidP="001F3BAF">
      <w:pPr>
        <w:spacing w:after="0" w:line="240" w:lineRule="auto"/>
      </w:pPr>
      <w:r>
        <w:separator/>
      </w:r>
    </w:p>
  </w:footnote>
  <w:footnote w:type="continuationSeparator" w:id="0">
    <w:p w14:paraId="763299C6" w14:textId="77777777" w:rsidR="001F3BAF" w:rsidRDefault="001F3BAF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A9B"/>
    <w:multiLevelType w:val="hybridMultilevel"/>
    <w:tmpl w:val="7DD6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7"/>
    <w:rsid w:val="00005482"/>
    <w:rsid w:val="0019550B"/>
    <w:rsid w:val="001F3BAF"/>
    <w:rsid w:val="00253DE1"/>
    <w:rsid w:val="00353609"/>
    <w:rsid w:val="00363A20"/>
    <w:rsid w:val="00446B32"/>
    <w:rsid w:val="004A724B"/>
    <w:rsid w:val="005720AE"/>
    <w:rsid w:val="006B4018"/>
    <w:rsid w:val="00714139"/>
    <w:rsid w:val="00814DE8"/>
    <w:rsid w:val="00893A45"/>
    <w:rsid w:val="00895E04"/>
    <w:rsid w:val="009B55A8"/>
    <w:rsid w:val="00B17468"/>
    <w:rsid w:val="00E602DA"/>
    <w:rsid w:val="00F44D07"/>
    <w:rsid w:val="00F975E7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o.org/fao-who-codexalimentarius/sh-proxy/en/?lnk=1&amp;url=https%253A%252F%252Fworkspace.fao.org%252Fsites%252Fcodex%252FStandards%252FCAC%2BRCP%2B50-2003%252FCXP_050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F626-950B-4B56-9AD4-6C0D3FC151BA}"/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DF8B-80A3-416C-AC48-9657634676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465e2d9-27c5-4c4f-bb6f-58b2139b2f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5530C6-DE08-43CF-AF3C-0EE06C7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Andy Bowles</cp:lastModifiedBy>
  <cp:revision>5</cp:revision>
  <dcterms:created xsi:type="dcterms:W3CDTF">2016-04-29T11:15:00Z</dcterms:created>
  <dcterms:modified xsi:type="dcterms:W3CDTF">2016-04-29T11:32:00Z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