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EAF1D" w14:textId="77777777" w:rsidR="00F44D07" w:rsidRPr="00F44D07" w:rsidRDefault="00F44D07" w:rsidP="00F44D0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F44D07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873137" wp14:editId="6677CA98">
                <wp:simplePos x="0" y="0"/>
                <wp:positionH relativeFrom="column">
                  <wp:posOffset>-22860</wp:posOffset>
                </wp:positionH>
                <wp:positionV relativeFrom="paragraph">
                  <wp:posOffset>68580</wp:posOffset>
                </wp:positionV>
                <wp:extent cx="6012180" cy="14249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4249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B2556" id="Rectangle 1" o:spid="_x0000_s1026" style="position:absolute;margin-left:-1.8pt;margin-top:5.4pt;width:473.4pt;height:112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" fillcolor="#deebf7" strokecolor="#4472c4" strokeweight="1pt"/>
            </w:pict>
          </mc:Fallback>
        </mc:AlternateContent>
      </w:r>
      <w:proofErr w:type="spellStart"/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MyHACCP</w:t>
      </w:r>
      <w:proofErr w:type="spellEnd"/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 Hazard Factsheet</w:t>
      </w:r>
    </w:p>
    <w:p w14:paraId="4C609605" w14:textId="77777777" w:rsidR="00F44D07" w:rsidRPr="00F44D07" w:rsidRDefault="00F44D07" w:rsidP="00F44D07"/>
    <w:p w14:paraId="30681748" w14:textId="77777777" w:rsidR="00F44D07" w:rsidRPr="00F44D07" w:rsidRDefault="00F44D07" w:rsidP="00F44D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CATEGORY:</w:t>
      </w:r>
      <w:r w:rsidRPr="00F44D0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Microbiological</w:t>
      </w:r>
    </w:p>
    <w:p w14:paraId="2451FA5A" w14:textId="77777777" w:rsidR="00F44D07" w:rsidRPr="00F44D07" w:rsidRDefault="00F44D07" w:rsidP="00F44D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7FE1653" w14:textId="36847C76" w:rsidR="00F44D07" w:rsidRPr="00F44D07" w:rsidRDefault="00F44D07" w:rsidP="00F44D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NAME:</w:t>
      </w:r>
      <w:r w:rsidRPr="00F44D0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="005720AE">
        <w:rPr>
          <w:rFonts w:asciiTheme="majorHAnsi" w:eastAsiaTheme="majorEastAsia" w:hAnsiTheme="majorHAnsi" w:cstheme="majorBidi"/>
          <w:i/>
          <w:color w:val="2E74B5" w:themeColor="accent1" w:themeShade="BF"/>
          <w:sz w:val="26"/>
          <w:szCs w:val="26"/>
        </w:rPr>
        <w:t>Listeria</w:t>
      </w:r>
      <w:r w:rsidRPr="00F44D07">
        <w:rPr>
          <w:rFonts w:asciiTheme="majorHAnsi" w:eastAsiaTheme="majorEastAsia" w:hAnsiTheme="majorHAnsi" w:cstheme="majorBidi"/>
          <w:i/>
          <w:color w:val="2E74B5" w:themeColor="accent1" w:themeShade="BF"/>
          <w:sz w:val="26"/>
          <w:szCs w:val="26"/>
        </w:rPr>
        <w:t xml:space="preserve"> </w:t>
      </w:r>
      <w:r w:rsidRPr="00F44D0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species</w:t>
      </w:r>
    </w:p>
    <w:p w14:paraId="69AB60DE" w14:textId="77777777" w:rsidR="00F44D07" w:rsidRPr="00F44D07" w:rsidRDefault="00F44D07" w:rsidP="00F44D07"/>
    <w:p w14:paraId="6EB00215" w14:textId="77777777" w:rsidR="00F44D07" w:rsidRP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General Information</w:t>
      </w:r>
    </w:p>
    <w:p w14:paraId="2A5C80EC" w14:textId="3AAE814D" w:rsidR="00F44D07" w:rsidRPr="00B17468" w:rsidRDefault="00B17468" w:rsidP="00B17468">
      <w:r>
        <w:t xml:space="preserve">The most common form of Listeria is </w:t>
      </w:r>
      <w:r w:rsidRPr="00B17468">
        <w:rPr>
          <w:i/>
        </w:rPr>
        <w:t>Listeria monocytogenes</w:t>
      </w:r>
      <w:r>
        <w:rPr>
          <w:i/>
        </w:rPr>
        <w:t>.</w:t>
      </w:r>
    </w:p>
    <w:p w14:paraId="39CAA597" w14:textId="77777777" w:rsidR="00F44D07" w:rsidRP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Common sources</w:t>
      </w:r>
    </w:p>
    <w:p w14:paraId="2E3F731D" w14:textId="0C9C76B8" w:rsidR="00F44D07" w:rsidRPr="00F44D07" w:rsidRDefault="00F44D07" w:rsidP="00F44D07">
      <w:r w:rsidRPr="00F44D07">
        <w:t>You must consider</w:t>
      </w:r>
      <w:r w:rsidR="00814DE8">
        <w:rPr>
          <w:i/>
        </w:rPr>
        <w:t xml:space="preserve"> Listeria </w:t>
      </w:r>
      <w:r w:rsidRPr="00F44D07">
        <w:t>species to be a hazard associated with the following foods:</w:t>
      </w:r>
    </w:p>
    <w:p w14:paraId="75F381B8" w14:textId="3DEA2DE7" w:rsidR="00814DE8" w:rsidRPr="00B17468" w:rsidRDefault="00814DE8" w:rsidP="00B17468">
      <w:pPr>
        <w:numPr>
          <w:ilvl w:val="0"/>
          <w:numId w:val="2"/>
        </w:numPr>
        <w:contextualSpacing/>
        <w:rPr>
          <w:b/>
        </w:rPr>
      </w:pPr>
      <w:r>
        <w:t>Raw milk</w:t>
      </w:r>
      <w:r w:rsidR="00B17468">
        <w:t xml:space="preserve"> and r</w:t>
      </w:r>
      <w:r>
        <w:t>ipened soft cheese</w:t>
      </w:r>
      <w:r w:rsidR="00B17468">
        <w:t>.</w:t>
      </w:r>
    </w:p>
    <w:p w14:paraId="16CDEF84" w14:textId="181D896D" w:rsidR="00814DE8" w:rsidRPr="00814DE8" w:rsidRDefault="00814DE8" w:rsidP="00814DE8">
      <w:pPr>
        <w:numPr>
          <w:ilvl w:val="0"/>
          <w:numId w:val="2"/>
        </w:numPr>
        <w:contextualSpacing/>
        <w:rPr>
          <w:b/>
        </w:rPr>
      </w:pPr>
      <w:r>
        <w:t>Smoked fish</w:t>
      </w:r>
    </w:p>
    <w:p w14:paraId="7821AE13" w14:textId="3CB1566A" w:rsidR="00814DE8" w:rsidRPr="00B17468" w:rsidRDefault="00814DE8" w:rsidP="00B17468">
      <w:pPr>
        <w:numPr>
          <w:ilvl w:val="0"/>
          <w:numId w:val="2"/>
        </w:numPr>
        <w:contextualSpacing/>
        <w:rPr>
          <w:b/>
        </w:rPr>
      </w:pPr>
      <w:r>
        <w:t>Cooked meats</w:t>
      </w:r>
      <w:r w:rsidR="00B17468">
        <w:t xml:space="preserve">, </w:t>
      </w:r>
      <w:r w:rsidR="0019550B">
        <w:t>ready meals</w:t>
      </w:r>
      <w:r w:rsidR="00B17468">
        <w:rPr>
          <w:b/>
        </w:rPr>
        <w:t xml:space="preserve"> </w:t>
      </w:r>
      <w:r w:rsidR="00B17468" w:rsidRPr="00B17468">
        <w:t>and</w:t>
      </w:r>
      <w:r w:rsidR="00B17468">
        <w:rPr>
          <w:b/>
        </w:rPr>
        <w:t xml:space="preserve"> </w:t>
      </w:r>
      <w:r>
        <w:t xml:space="preserve">Pate </w:t>
      </w:r>
    </w:p>
    <w:p w14:paraId="402DC708" w14:textId="35762B0E" w:rsidR="00814DE8" w:rsidRPr="00814DE8" w:rsidRDefault="00814DE8" w:rsidP="00814DE8">
      <w:pPr>
        <w:numPr>
          <w:ilvl w:val="0"/>
          <w:numId w:val="2"/>
        </w:numPr>
        <w:contextualSpacing/>
        <w:rPr>
          <w:b/>
        </w:rPr>
      </w:pPr>
      <w:r>
        <w:t>Ready to eat salads, sandwiches</w:t>
      </w:r>
    </w:p>
    <w:p w14:paraId="30332744" w14:textId="77777777" w:rsidR="00814DE8" w:rsidRPr="00F44D07" w:rsidRDefault="00814DE8" w:rsidP="00814DE8">
      <w:pPr>
        <w:ind w:left="720"/>
        <w:contextualSpacing/>
        <w:rPr>
          <w:b/>
        </w:rPr>
      </w:pPr>
    </w:p>
    <w:p w14:paraId="54C83881" w14:textId="77777777" w:rsidR="00F44D07" w:rsidRP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Properties and common controls</w:t>
      </w:r>
    </w:p>
    <w:p w14:paraId="1F379606" w14:textId="4815CC2B" w:rsidR="006B4018" w:rsidRPr="00F44D07" w:rsidRDefault="0019550B" w:rsidP="00F44D07">
      <w:pPr>
        <w:contextualSpacing/>
      </w:pPr>
      <w:r>
        <w:rPr>
          <w:i/>
        </w:rPr>
        <w:t xml:space="preserve">Listeria monocytogenes </w:t>
      </w:r>
      <w:r>
        <w:t>is a psychotropic facultative anaerobe which means that it can grow slowly at refrigerated temperatures and in the absence of oxygen such as in vacuum packed products. It is</w:t>
      </w:r>
      <w:r w:rsidR="00353609">
        <w:t xml:space="preserve"> </w:t>
      </w:r>
      <w:r w:rsidR="00F44D07" w:rsidRPr="00F44D07">
        <w:t>easily killed by heat treatment</w:t>
      </w:r>
      <w:r w:rsidR="00353609">
        <w:t>. T</w:t>
      </w:r>
      <w:r w:rsidR="00F44D07" w:rsidRPr="00F44D07">
        <w:t>he following time/temperature combinations will be adequate controls in most cases:</w:t>
      </w:r>
    </w:p>
    <w:p w14:paraId="7AA89AD9" w14:textId="6418BD26" w:rsidR="006B4018" w:rsidRPr="00F44D07" w:rsidRDefault="00F44D07" w:rsidP="006B4018">
      <w:pPr>
        <w:ind w:left="720"/>
        <w:contextualSpacing/>
      </w:pPr>
      <w:r w:rsidRPr="00F44D07">
        <w:t>75°C instant (measured at the centre or coolest part of the food).</w:t>
      </w:r>
    </w:p>
    <w:p w14:paraId="7A7B68E4" w14:textId="77777777" w:rsidR="00F44D07" w:rsidRPr="00F44D07" w:rsidRDefault="00F44D07" w:rsidP="00F44D07">
      <w:pPr>
        <w:ind w:left="720"/>
        <w:contextualSpacing/>
      </w:pPr>
      <w:r w:rsidRPr="00F44D07">
        <w:t>72°C for 15 seconds</w:t>
      </w:r>
    </w:p>
    <w:p w14:paraId="6B73F534" w14:textId="77777777" w:rsidR="00F44D07" w:rsidRPr="00F44D07" w:rsidRDefault="00F44D07" w:rsidP="00F44D07">
      <w:pPr>
        <w:ind w:left="720"/>
        <w:contextualSpacing/>
      </w:pPr>
      <w:r w:rsidRPr="00F44D07">
        <w:t>70°C for 2 minutes</w:t>
      </w:r>
    </w:p>
    <w:p w14:paraId="196474E4" w14:textId="3AA15ACC" w:rsidR="006B4018" w:rsidRDefault="00F44D07" w:rsidP="00B17468">
      <w:pPr>
        <w:ind w:left="720"/>
        <w:contextualSpacing/>
      </w:pPr>
      <w:r w:rsidRPr="00F44D07">
        <w:t>63°C for 30 minutes</w:t>
      </w:r>
    </w:p>
    <w:p w14:paraId="4D80E6C0" w14:textId="2486D9A6" w:rsidR="00F44D07" w:rsidRPr="00F44D07" w:rsidRDefault="0019550B" w:rsidP="00F44D07">
      <w:pPr>
        <w:contextualSpacing/>
      </w:pPr>
      <w:r>
        <w:rPr>
          <w:i/>
        </w:rPr>
        <w:t>G</w:t>
      </w:r>
      <w:r w:rsidR="00353609">
        <w:t>rowth will be inhibited at</w:t>
      </w:r>
      <w:r>
        <w:t xml:space="preserve"> pH 4.39 and by water activity (a</w:t>
      </w:r>
      <w:r w:rsidRPr="0019550B">
        <w:rPr>
          <w:vertAlign w:val="subscript"/>
        </w:rPr>
        <w:t>w</w:t>
      </w:r>
      <w:r>
        <w:t xml:space="preserve">) 0.92. </w:t>
      </w:r>
      <w:r w:rsidRPr="0019550B">
        <w:rPr>
          <w:i/>
        </w:rPr>
        <w:t>Listeria monocytogenes</w:t>
      </w:r>
      <w:r>
        <w:t xml:space="preserve"> can grow slowly at</w:t>
      </w:r>
      <w:r w:rsidR="00F44D07" w:rsidRPr="00F44D07">
        <w:t xml:space="preserve"> refrigerated temperatures</w:t>
      </w:r>
      <w:r>
        <w:t xml:space="preserve"> but reducing refrigerated (≤ 8°C) shelf life to 5 days will be an effective control for ready to eat foods.</w:t>
      </w:r>
      <w:r w:rsidR="00B17468">
        <w:t xml:space="preserve"> </w:t>
      </w:r>
      <w:r w:rsidR="00F44D07" w:rsidRPr="00F44D07">
        <w:t xml:space="preserve">The bacteria are readily spread by cross contamination from raw to ready to eat food and so effectively implemented pre-requisite programmes are essential in the control of this hazard. </w:t>
      </w:r>
    </w:p>
    <w:p w14:paraId="65213EBF" w14:textId="77777777" w:rsidR="00F44D07" w:rsidRPr="00F44D07" w:rsidRDefault="00F44D07" w:rsidP="00F44D07">
      <w:pPr>
        <w:contextualSpacing/>
      </w:pPr>
    </w:p>
    <w:p w14:paraId="71A9E75F" w14:textId="7AD50A71" w:rsidR="00F44D07" w:rsidRPr="00B17468" w:rsidRDefault="00F44D07" w:rsidP="006B4018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References</w:t>
      </w:r>
    </w:p>
    <w:p w14:paraId="02403356" w14:textId="5A078089" w:rsidR="00253DE1" w:rsidRPr="00446B32" w:rsidRDefault="0019550B" w:rsidP="0019550B">
      <w:pPr>
        <w:contextualSpacing/>
      </w:pPr>
      <w:r>
        <w:rPr>
          <w:i/>
        </w:rPr>
        <w:t xml:space="preserve">Listeria </w:t>
      </w:r>
      <w:r w:rsidR="00F44D07" w:rsidRPr="00F44D07">
        <w:t>epidemiology</w:t>
      </w:r>
    </w:p>
    <w:p w14:paraId="70296DB3" w14:textId="2FDE4D39" w:rsidR="0019550B" w:rsidRDefault="0019550B" w:rsidP="0019550B">
      <w:pPr>
        <w:contextualSpacing/>
        <w:rPr>
          <w:b/>
        </w:rPr>
      </w:pPr>
      <w:hyperlink r:id="rId11" w:history="1">
        <w:r w:rsidRPr="003009FC">
          <w:rPr>
            <w:rStyle w:val="Hyperlink"/>
            <w:b/>
          </w:rPr>
          <w:t>https://www.gov.uk/government/collections/listeria-guidance-data-and-analysis</w:t>
        </w:r>
      </w:hyperlink>
    </w:p>
    <w:p w14:paraId="71980E1A" w14:textId="77777777" w:rsidR="0019550B" w:rsidRDefault="0019550B" w:rsidP="0019550B">
      <w:pPr>
        <w:contextualSpacing/>
        <w:rPr>
          <w:b/>
        </w:rPr>
      </w:pPr>
    </w:p>
    <w:p w14:paraId="6CDAE966" w14:textId="7C77B1FC" w:rsidR="00446B32" w:rsidRDefault="00446B32" w:rsidP="0019550B">
      <w:pPr>
        <w:contextualSpacing/>
      </w:pPr>
      <w:r w:rsidRPr="00446B32">
        <w:t>Listeria control</w:t>
      </w:r>
      <w:r w:rsidR="00B17468">
        <w:t xml:space="preserve"> in smoked fish (interactive tool)</w:t>
      </w:r>
    </w:p>
    <w:p w14:paraId="5BEFBB2D" w14:textId="3B59E09D" w:rsidR="00B17468" w:rsidRDefault="00B17468" w:rsidP="0019550B">
      <w:pPr>
        <w:contextualSpacing/>
      </w:pPr>
      <w:hyperlink r:id="rId12" w:history="1">
        <w:r w:rsidRPr="003009FC">
          <w:rPr>
            <w:rStyle w:val="Hyperlink"/>
          </w:rPr>
          <w:t>http://safesmokedfish.foodstandards.gov.scot/</w:t>
        </w:r>
      </w:hyperlink>
      <w:r>
        <w:t xml:space="preserve"> </w:t>
      </w:r>
    </w:p>
    <w:p w14:paraId="020AAF92" w14:textId="77777777" w:rsidR="00B17468" w:rsidRDefault="00B17468" w:rsidP="0019550B">
      <w:pPr>
        <w:contextualSpacing/>
      </w:pPr>
    </w:p>
    <w:p w14:paraId="7A4D044F" w14:textId="700768F5" w:rsidR="00B17468" w:rsidRDefault="00B17468" w:rsidP="0019550B">
      <w:pPr>
        <w:contextualSpacing/>
      </w:pPr>
      <w:r w:rsidRPr="00B17468">
        <w:rPr>
          <w:i/>
        </w:rPr>
        <w:t xml:space="preserve">Codex </w:t>
      </w:r>
      <w:proofErr w:type="spellStart"/>
      <w:r w:rsidRPr="00B17468">
        <w:rPr>
          <w:i/>
        </w:rPr>
        <w:t>alimentarius</w:t>
      </w:r>
      <w:proofErr w:type="spellEnd"/>
      <w:r>
        <w:t xml:space="preserve"> </w:t>
      </w:r>
      <w:hyperlink r:id="rId13" w:history="1">
        <w:r w:rsidRPr="003009FC">
          <w:rPr>
            <w:rStyle w:val="Hyperlink"/>
          </w:rPr>
          <w:t>http://www.fao.org/fao-who-codexalimentarius/sh-proxy/en/?lnk=1&amp;url=https%253A%252F%252Fworkspace.fao.org%252Fsites%252Fcodex%252FStandards%252FCAC%2BGL%2B61-2007%252FCXG_061e.pdf</w:t>
        </w:r>
      </w:hyperlink>
      <w:r>
        <w:t xml:space="preserve"> </w:t>
      </w:r>
    </w:p>
    <w:p w14:paraId="16F406DD" w14:textId="77777777" w:rsidR="00B17468" w:rsidRDefault="00B17468" w:rsidP="0019550B">
      <w:pPr>
        <w:contextualSpacing/>
      </w:pPr>
    </w:p>
    <w:p w14:paraId="5F89A9C0" w14:textId="675262F5" w:rsidR="00B17468" w:rsidRDefault="00B17468" w:rsidP="0019550B">
      <w:pPr>
        <w:contextualSpacing/>
      </w:pPr>
      <w:r>
        <w:t xml:space="preserve">Food Safety Authority of </w:t>
      </w:r>
      <w:proofErr w:type="gramStart"/>
      <w:r>
        <w:t xml:space="preserve">Ireland  </w:t>
      </w:r>
      <w:proofErr w:type="gramEnd"/>
      <w:hyperlink r:id="rId14" w:history="1">
        <w:r w:rsidRPr="003009FC">
          <w:rPr>
            <w:rStyle w:val="Hyperlink"/>
          </w:rPr>
          <w:t>https://www.fsai.ie/workarea/downloadasset.aspx?id=1234</w:t>
        </w:r>
      </w:hyperlink>
      <w:r>
        <w:t xml:space="preserve"> </w:t>
      </w:r>
    </w:p>
    <w:p w14:paraId="6458749E" w14:textId="77777777" w:rsidR="00B17468" w:rsidRPr="00446B32" w:rsidRDefault="00B17468" w:rsidP="0019550B">
      <w:pPr>
        <w:contextualSpacing/>
      </w:pPr>
      <w:bookmarkStart w:id="0" w:name="_GoBack"/>
      <w:bookmarkEnd w:id="0"/>
    </w:p>
    <w:sectPr w:rsidR="00B17468" w:rsidRPr="00446B3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D04DA" w14:textId="77777777" w:rsidR="001F3BAF" w:rsidRDefault="001F3BAF" w:rsidP="001F3BAF">
      <w:pPr>
        <w:spacing w:after="0" w:line="240" w:lineRule="auto"/>
      </w:pPr>
      <w:r>
        <w:separator/>
      </w:r>
    </w:p>
  </w:endnote>
  <w:endnote w:type="continuationSeparator" w:id="0">
    <w:p w14:paraId="34D455AE" w14:textId="77777777" w:rsidR="001F3BAF" w:rsidRDefault="001F3BAF" w:rsidP="001F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BF9AC" w14:textId="3E87ABA2" w:rsidR="001F3BAF" w:rsidRDefault="001F3BAF">
    <w:pPr>
      <w:pStyle w:val="Footer"/>
    </w:pPr>
    <w:r>
      <w:t>Information in this factsheet is intended for quick reference only to help in the identification and control of common hazards.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FAF39" w14:textId="77777777" w:rsidR="001F3BAF" w:rsidRDefault="001F3BAF" w:rsidP="001F3BAF">
      <w:pPr>
        <w:spacing w:after="0" w:line="240" w:lineRule="auto"/>
      </w:pPr>
      <w:r>
        <w:separator/>
      </w:r>
    </w:p>
  </w:footnote>
  <w:footnote w:type="continuationSeparator" w:id="0">
    <w:p w14:paraId="763299C6" w14:textId="77777777" w:rsidR="001F3BAF" w:rsidRDefault="001F3BAF" w:rsidP="001F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65A9B"/>
    <w:multiLevelType w:val="hybridMultilevel"/>
    <w:tmpl w:val="7DD6E2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1D4E58"/>
    <w:multiLevelType w:val="hybridMultilevel"/>
    <w:tmpl w:val="8E54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07"/>
    <w:rsid w:val="0019550B"/>
    <w:rsid w:val="001F3BAF"/>
    <w:rsid w:val="00253DE1"/>
    <w:rsid w:val="00353609"/>
    <w:rsid w:val="00446B32"/>
    <w:rsid w:val="005720AE"/>
    <w:rsid w:val="006B4018"/>
    <w:rsid w:val="00814DE8"/>
    <w:rsid w:val="00893A45"/>
    <w:rsid w:val="00895E04"/>
    <w:rsid w:val="00B17468"/>
    <w:rsid w:val="00F4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7A06"/>
  <w15:chartTrackingRefBased/>
  <w15:docId w15:val="{7B3ADA2B-A747-46D1-AF27-98DF24C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A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AF"/>
  </w:style>
  <w:style w:type="paragraph" w:styleId="Footer">
    <w:name w:val="footer"/>
    <w:basedOn w:val="Normal"/>
    <w:link w:val="FooterChar"/>
    <w:uiPriority w:val="99"/>
    <w:unhideWhenUsed/>
    <w:rsid w:val="001F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o.org/fao-who-codexalimentarius/sh-proxy/en/?lnk=1&amp;url=https%253A%252F%252Fworkspace.fao.org%252Fsites%252Fcodex%252FStandards%252FCAC%2BGL%2B61-2007%252FCXG_061e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afesmokedfish.foodstandards.gov.sco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llections/listeria-guidance-data-and-analysi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sai.ie/workarea/downloadasset.aspx?id=1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AEF916046B459AEF1F8501DE50E8" ma:contentTypeVersion="4" ma:contentTypeDescription="Create a new document." ma:contentTypeScope="" ma:versionID="bfbf7643e112343739e2d0face05bc20">
  <xsd:schema xmlns:xsd="http://www.w3.org/2001/XMLSchema" xmlns:xs="http://www.w3.org/2001/XMLSchema" xmlns:p="http://schemas.microsoft.com/office/2006/metadata/properties" xmlns:ns2="7465e2d9-27c5-4c4f-bb6f-58b2139b2fc4" targetNamespace="http://schemas.microsoft.com/office/2006/metadata/properties" ma:root="true" ma:fieldsID="c7b3acde2c02fa4cfabf4ed3d284fe94" ns2:_="">
    <xsd:import namespace="7465e2d9-27c5-4c4f-bb6f-58b2139b2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e2d9-27c5-4c4f-bb6f-58b2139b2f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DF8B-80A3-416C-AC48-9657634676C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465e2d9-27c5-4c4f-bb6f-58b2139b2f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4E1977-BC5F-42D6-AEFA-12FF0175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E8FEF-5BB7-4158-B6C0-248BD0937B31}"/>
</file>

<file path=customXml/itemProps4.xml><?xml version="1.0" encoding="utf-8"?>
<ds:datastoreItem xmlns:ds="http://schemas.openxmlformats.org/officeDocument/2006/customXml" ds:itemID="{57C48D5B-7379-49C4-83F0-E48A677F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Bowles</dc:creator>
  <cp:keywords/>
  <dc:description/>
  <cp:lastModifiedBy>Andy Bowles</cp:lastModifiedBy>
  <cp:revision>4</cp:revision>
  <dcterms:created xsi:type="dcterms:W3CDTF">2016-04-29T08:46:00Z</dcterms:created>
  <dcterms:modified xsi:type="dcterms:W3CDTF">2016-04-29T09:29:00Z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0x0101009BC1AEF916046B459AEF1F8501DE50E8</vt:lpwstr>
  </property>
</Properties>
</file>