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9605" w14:textId="5CA49B0C" w:rsidR="00F44D07" w:rsidRPr="00BE54EF" w:rsidRDefault="00F44D07" w:rsidP="00BE54EF">
      <w:pPr>
        <w:pStyle w:val="Heading1"/>
      </w:pPr>
      <w:bookmarkStart w:id="0" w:name="_GoBack"/>
      <w:r w:rsidRPr="00BE54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6EC76638">
                <wp:simplePos x="0" y="0"/>
                <wp:positionH relativeFrom="column">
                  <wp:posOffset>-25400</wp:posOffset>
                </wp:positionH>
                <wp:positionV relativeFrom="paragraph">
                  <wp:posOffset>69850</wp:posOffset>
                </wp:positionV>
                <wp:extent cx="6012180" cy="965200"/>
                <wp:effectExtent l="0" t="0" r="26670" b="2540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65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B63F7" id="Rectangle 1" o:spid="_x0000_s1026" style="position:absolute;margin-left:-2pt;margin-top:5.5pt;width:473.4pt;height:7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" fillcolor="#deebf7" strokecolor="#4472c4" strokeweight="1pt"/>
            </w:pict>
          </mc:Fallback>
        </mc:AlternateContent>
      </w:r>
      <w:bookmarkEnd w:id="0"/>
      <w:r w:rsidRPr="00BE54EF">
        <w:t>MyHACCP Hazard Factsheet</w:t>
      </w:r>
    </w:p>
    <w:p w14:paraId="2451FA5A" w14:textId="31DCF726" w:rsidR="00F44D07" w:rsidRPr="00BE54EF" w:rsidRDefault="00F44D07" w:rsidP="00BE54EF">
      <w:pPr>
        <w:pStyle w:val="Heading2"/>
        <w:rPr>
          <w:i w:val="0"/>
          <w:iCs/>
        </w:rPr>
      </w:pPr>
      <w:r w:rsidRPr="00BE54EF">
        <w:rPr>
          <w:b/>
          <w:i w:val="0"/>
          <w:iCs/>
        </w:rPr>
        <w:t>CATEGORY:</w:t>
      </w:r>
      <w:r w:rsidRPr="00BE54EF">
        <w:rPr>
          <w:i w:val="0"/>
          <w:iCs/>
        </w:rPr>
        <w:t xml:space="preserve"> Microbiological</w:t>
      </w:r>
    </w:p>
    <w:p w14:paraId="77FE1653" w14:textId="1C96C79C" w:rsidR="00F44D07" w:rsidRPr="00BE54EF" w:rsidRDefault="00F44D07" w:rsidP="00BE54EF">
      <w:pPr>
        <w:pStyle w:val="Heading2"/>
      </w:pPr>
      <w:r w:rsidRPr="00BE54EF">
        <w:rPr>
          <w:b/>
          <w:i w:val="0"/>
          <w:iCs/>
        </w:rPr>
        <w:t>NAME:</w:t>
      </w:r>
      <w:r w:rsidRPr="00BE54EF">
        <w:rPr>
          <w:i w:val="0"/>
          <w:iCs/>
        </w:rPr>
        <w:t xml:space="preserve"> </w:t>
      </w:r>
      <w:r w:rsidR="004A724B" w:rsidRPr="00BE54EF">
        <w:t>Clostridium perfringens</w:t>
      </w:r>
    </w:p>
    <w:p w14:paraId="69AB60DE" w14:textId="77777777" w:rsidR="00F44D07" w:rsidRPr="00F44D07" w:rsidRDefault="00F44D07" w:rsidP="00F44D07"/>
    <w:p w14:paraId="6EB00215" w14:textId="77777777" w:rsidR="00F44D07" w:rsidRPr="00BE54EF" w:rsidRDefault="00F44D07" w:rsidP="00BE54EF">
      <w:pPr>
        <w:pStyle w:val="Heading3"/>
        <w:rPr>
          <w:sz w:val="24"/>
          <w:szCs w:val="24"/>
        </w:rPr>
      </w:pPr>
      <w:r w:rsidRPr="00BE54EF">
        <w:rPr>
          <w:sz w:val="24"/>
          <w:szCs w:val="24"/>
        </w:rPr>
        <w:t>General Information</w:t>
      </w:r>
    </w:p>
    <w:p w14:paraId="2A5C80EC" w14:textId="68B541B4" w:rsidR="00F44D07" w:rsidRPr="00BE54EF" w:rsidRDefault="00714139" w:rsidP="00B17468">
      <w:pPr>
        <w:rPr>
          <w:sz w:val="24"/>
          <w:szCs w:val="24"/>
        </w:rPr>
      </w:pPr>
      <w:r w:rsidRPr="00BE54EF">
        <w:rPr>
          <w:sz w:val="24"/>
          <w:szCs w:val="24"/>
        </w:rPr>
        <w:t xml:space="preserve">Clostridium perfringens is a toxin producing spore former. </w:t>
      </w:r>
      <w:r w:rsidR="009B55A8" w:rsidRPr="00BE54EF">
        <w:rPr>
          <w:sz w:val="24"/>
          <w:szCs w:val="24"/>
        </w:rPr>
        <w:t xml:space="preserve">The bacteria </w:t>
      </w:r>
      <w:proofErr w:type="gramStart"/>
      <w:r w:rsidR="009B55A8" w:rsidRPr="00BE54EF">
        <w:rPr>
          <w:sz w:val="24"/>
          <w:szCs w:val="24"/>
        </w:rPr>
        <w:t>is</w:t>
      </w:r>
      <w:proofErr w:type="gramEnd"/>
      <w:r w:rsidR="009B55A8" w:rsidRPr="00BE54EF">
        <w:rPr>
          <w:sz w:val="24"/>
          <w:szCs w:val="24"/>
        </w:rPr>
        <w:t xml:space="preserve"> readily killed by normal cooking processes but will form spores which are heat resistant. If these spores are given time to germinate after cooking, the</w:t>
      </w:r>
      <w:r w:rsidR="00E602DA" w:rsidRPr="00BE54EF">
        <w:rPr>
          <w:sz w:val="24"/>
          <w:szCs w:val="24"/>
        </w:rPr>
        <w:t xml:space="preserve">y may produce a toxin in the food. </w:t>
      </w:r>
    </w:p>
    <w:p w14:paraId="39CAA597" w14:textId="77777777" w:rsidR="00F44D07" w:rsidRPr="00BE54EF" w:rsidRDefault="00F44D07" w:rsidP="00BE54EF">
      <w:pPr>
        <w:pStyle w:val="Heading3"/>
        <w:rPr>
          <w:sz w:val="24"/>
          <w:szCs w:val="24"/>
        </w:rPr>
      </w:pPr>
      <w:r w:rsidRPr="00BE54EF">
        <w:rPr>
          <w:sz w:val="24"/>
          <w:szCs w:val="24"/>
        </w:rPr>
        <w:t>Common sources</w:t>
      </w:r>
    </w:p>
    <w:p w14:paraId="2E3F731D" w14:textId="6BCAA4DD" w:rsidR="00F44D07" w:rsidRPr="00BE54EF" w:rsidRDefault="00F44D07" w:rsidP="00F44D07">
      <w:pPr>
        <w:rPr>
          <w:sz w:val="24"/>
          <w:szCs w:val="24"/>
        </w:rPr>
      </w:pPr>
      <w:r w:rsidRPr="00BE54EF">
        <w:rPr>
          <w:sz w:val="24"/>
          <w:szCs w:val="24"/>
        </w:rPr>
        <w:t>You must consider</w:t>
      </w:r>
      <w:r w:rsidR="004A724B" w:rsidRPr="00BE54EF">
        <w:rPr>
          <w:i/>
          <w:sz w:val="24"/>
          <w:szCs w:val="24"/>
        </w:rPr>
        <w:t xml:space="preserve"> Clostridium perfringens</w:t>
      </w:r>
      <w:r w:rsidR="00814DE8" w:rsidRPr="00BE54EF">
        <w:rPr>
          <w:i/>
          <w:sz w:val="24"/>
          <w:szCs w:val="24"/>
        </w:rPr>
        <w:t xml:space="preserve"> </w:t>
      </w:r>
      <w:r w:rsidRPr="00BE54EF">
        <w:rPr>
          <w:sz w:val="24"/>
          <w:szCs w:val="24"/>
        </w:rPr>
        <w:t>species to be a hazard associated with the following foods:</w:t>
      </w:r>
    </w:p>
    <w:p w14:paraId="75F381B8" w14:textId="15A630E4" w:rsidR="00814DE8" w:rsidRPr="00BE54EF" w:rsidRDefault="004A724B" w:rsidP="00B17468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BE54EF">
        <w:rPr>
          <w:sz w:val="24"/>
          <w:szCs w:val="24"/>
        </w:rPr>
        <w:t>Cooked meats</w:t>
      </w:r>
    </w:p>
    <w:p w14:paraId="3B383A67" w14:textId="7098888F" w:rsidR="009B55A8" w:rsidRPr="00BE54EF" w:rsidRDefault="009B55A8" w:rsidP="00B17468">
      <w:pPr>
        <w:numPr>
          <w:ilvl w:val="0"/>
          <w:numId w:val="2"/>
        </w:numPr>
        <w:contextualSpacing/>
        <w:rPr>
          <w:sz w:val="24"/>
          <w:szCs w:val="24"/>
        </w:rPr>
      </w:pPr>
      <w:r w:rsidRPr="00BE54EF">
        <w:rPr>
          <w:sz w:val="24"/>
          <w:szCs w:val="24"/>
        </w:rPr>
        <w:t>Meat pies and pasties</w:t>
      </w:r>
    </w:p>
    <w:p w14:paraId="30332744" w14:textId="0FEF30FA" w:rsidR="00814DE8" w:rsidRPr="00BE54EF" w:rsidRDefault="004A724B" w:rsidP="004A724B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BE54EF">
        <w:rPr>
          <w:sz w:val="24"/>
          <w:szCs w:val="24"/>
        </w:rPr>
        <w:t>Stews and casseroles</w:t>
      </w:r>
    </w:p>
    <w:p w14:paraId="41AFCA43" w14:textId="77777777" w:rsidR="004A724B" w:rsidRPr="00BE54EF" w:rsidRDefault="004A724B" w:rsidP="004A724B">
      <w:pPr>
        <w:contextualSpacing/>
        <w:rPr>
          <w:b/>
          <w:sz w:val="24"/>
          <w:szCs w:val="24"/>
        </w:rPr>
      </w:pPr>
    </w:p>
    <w:p w14:paraId="54C83881" w14:textId="77777777" w:rsidR="00F44D07" w:rsidRPr="00BE54EF" w:rsidRDefault="00F44D07" w:rsidP="00BE54EF">
      <w:pPr>
        <w:pStyle w:val="Heading3"/>
        <w:rPr>
          <w:sz w:val="24"/>
          <w:szCs w:val="24"/>
        </w:rPr>
      </w:pPr>
      <w:r w:rsidRPr="00BE54EF">
        <w:rPr>
          <w:sz w:val="24"/>
          <w:szCs w:val="24"/>
        </w:rPr>
        <w:t>Properties and common controls</w:t>
      </w:r>
    </w:p>
    <w:p w14:paraId="5AF26E1E" w14:textId="77777777" w:rsidR="009B55A8" w:rsidRPr="00BE54EF" w:rsidRDefault="00714139" w:rsidP="00714139">
      <w:pPr>
        <w:contextualSpacing/>
        <w:rPr>
          <w:sz w:val="24"/>
          <w:szCs w:val="24"/>
        </w:rPr>
      </w:pPr>
      <w:r w:rsidRPr="00BE54EF">
        <w:rPr>
          <w:sz w:val="24"/>
          <w:szCs w:val="24"/>
        </w:rPr>
        <w:t xml:space="preserve">The optimum growth temperature for Clostridium perfringens is 37 - 45°C but there is no growth at refrigerated temperatures (≤ 8°C) or at pH &lt;5.0. </w:t>
      </w:r>
      <w:r w:rsidR="009B55A8" w:rsidRPr="00BE54EF">
        <w:rPr>
          <w:sz w:val="24"/>
          <w:szCs w:val="24"/>
        </w:rPr>
        <w:t>Growth of the organism will be inhibited by water activity (a</w:t>
      </w:r>
      <w:r w:rsidR="009B55A8" w:rsidRPr="00BE54EF">
        <w:rPr>
          <w:sz w:val="24"/>
          <w:szCs w:val="24"/>
          <w:vertAlign w:val="subscript"/>
        </w:rPr>
        <w:t>w</w:t>
      </w:r>
      <w:r w:rsidR="009B55A8" w:rsidRPr="00BE54EF">
        <w:rPr>
          <w:sz w:val="24"/>
          <w:szCs w:val="24"/>
        </w:rPr>
        <w:t xml:space="preserve">) ≤ 0.95. </w:t>
      </w:r>
    </w:p>
    <w:p w14:paraId="78D81D0B" w14:textId="77777777" w:rsidR="009B55A8" w:rsidRPr="00BE54EF" w:rsidRDefault="009B55A8" w:rsidP="00714139">
      <w:pPr>
        <w:contextualSpacing/>
        <w:rPr>
          <w:sz w:val="24"/>
          <w:szCs w:val="24"/>
        </w:rPr>
      </w:pPr>
    </w:p>
    <w:p w14:paraId="4D80E6C0" w14:textId="21774D2B" w:rsidR="00F44D07" w:rsidRPr="00BE54EF" w:rsidRDefault="00714139" w:rsidP="00714139">
      <w:pPr>
        <w:contextualSpacing/>
        <w:rPr>
          <w:sz w:val="24"/>
          <w:szCs w:val="24"/>
        </w:rPr>
      </w:pPr>
      <w:r w:rsidRPr="00BE54EF">
        <w:rPr>
          <w:sz w:val="24"/>
          <w:szCs w:val="24"/>
        </w:rPr>
        <w:t xml:space="preserve">Spores produced by the bacteria will survive </w:t>
      </w:r>
      <w:r w:rsidR="009B55A8" w:rsidRPr="00BE54EF">
        <w:rPr>
          <w:sz w:val="24"/>
          <w:szCs w:val="24"/>
        </w:rPr>
        <w:t>normal cooking temperatures and as such the main control is the rapid post cooking cooling of relevant food to prevent germination of spores and toxin formation.</w:t>
      </w:r>
    </w:p>
    <w:p w14:paraId="65213EBF" w14:textId="77777777" w:rsidR="00F44D07" w:rsidRPr="00BE54EF" w:rsidRDefault="00F44D07" w:rsidP="00F44D07">
      <w:pPr>
        <w:contextualSpacing/>
        <w:rPr>
          <w:sz w:val="24"/>
          <w:szCs w:val="24"/>
        </w:rPr>
      </w:pPr>
    </w:p>
    <w:p w14:paraId="6458749E" w14:textId="7E563488" w:rsidR="00B17468" w:rsidRPr="00BE54EF" w:rsidRDefault="00F44D07" w:rsidP="00BE54EF">
      <w:pPr>
        <w:pStyle w:val="Heading3"/>
        <w:rPr>
          <w:sz w:val="24"/>
          <w:szCs w:val="24"/>
        </w:rPr>
      </w:pPr>
      <w:r w:rsidRPr="00BE54EF">
        <w:rPr>
          <w:sz w:val="24"/>
          <w:szCs w:val="24"/>
        </w:rPr>
        <w:t>References</w:t>
      </w:r>
    </w:p>
    <w:p w14:paraId="15DF3891" w14:textId="77777777" w:rsidR="009B55A8" w:rsidRPr="00BE54EF" w:rsidRDefault="009B55A8" w:rsidP="009B55A8">
      <w:pPr>
        <w:ind w:left="360"/>
        <w:contextualSpacing/>
        <w:rPr>
          <w:b/>
          <w:sz w:val="24"/>
          <w:szCs w:val="24"/>
        </w:rPr>
      </w:pPr>
    </w:p>
    <w:p w14:paraId="6798E788" w14:textId="057995F8" w:rsidR="009B55A8" w:rsidRPr="00BE54EF" w:rsidRDefault="00A949AA" w:rsidP="009B55A8">
      <w:pPr>
        <w:contextualSpacing/>
        <w:rPr>
          <w:sz w:val="24"/>
          <w:szCs w:val="24"/>
        </w:rPr>
      </w:pPr>
      <w:hyperlink r:id="rId11" w:history="1">
        <w:r w:rsidR="009B55A8" w:rsidRPr="00EF6B47">
          <w:rPr>
            <w:rStyle w:val="Hyperlink"/>
            <w:sz w:val="24"/>
            <w:szCs w:val="24"/>
          </w:rPr>
          <w:t>Epidemiology of Clostridium botulinum</w:t>
        </w:r>
      </w:hyperlink>
    </w:p>
    <w:p w14:paraId="48264FEA" w14:textId="77777777" w:rsidR="009B55A8" w:rsidRPr="009B55A8" w:rsidRDefault="009B55A8" w:rsidP="009B55A8">
      <w:pPr>
        <w:contextualSpacing/>
      </w:pPr>
    </w:p>
    <w:p w14:paraId="10E00CC2" w14:textId="77777777" w:rsidR="009B55A8" w:rsidRPr="009B55A8" w:rsidRDefault="009B55A8" w:rsidP="009B55A8">
      <w:pPr>
        <w:ind w:left="360"/>
        <w:contextualSpacing/>
        <w:rPr>
          <w:b/>
        </w:rPr>
      </w:pPr>
    </w:p>
    <w:sectPr w:rsidR="009B55A8" w:rsidRPr="009B55A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EA80" w14:textId="77777777" w:rsidR="00A949AA" w:rsidRDefault="00A949AA" w:rsidP="001F3BAF">
      <w:pPr>
        <w:spacing w:after="0" w:line="240" w:lineRule="auto"/>
      </w:pPr>
      <w:r>
        <w:separator/>
      </w:r>
    </w:p>
  </w:endnote>
  <w:endnote w:type="continuationSeparator" w:id="0">
    <w:p w14:paraId="1C8E33B6" w14:textId="77777777" w:rsidR="00A949AA" w:rsidRDefault="00A949AA" w:rsidP="001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9AC" w14:textId="3E87ABA2" w:rsidR="001F3BAF" w:rsidRDefault="001F3BAF">
    <w:pPr>
      <w:pStyle w:val="Footer"/>
    </w:pPr>
    <w:r>
      <w:t>Information in this factsheet is intended for quick reference only to help in the identification and control of common hazards.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94FED" w14:textId="77777777" w:rsidR="00A949AA" w:rsidRDefault="00A949AA" w:rsidP="001F3BAF">
      <w:pPr>
        <w:spacing w:after="0" w:line="240" w:lineRule="auto"/>
      </w:pPr>
      <w:r>
        <w:separator/>
      </w:r>
    </w:p>
  </w:footnote>
  <w:footnote w:type="continuationSeparator" w:id="0">
    <w:p w14:paraId="00953245" w14:textId="77777777" w:rsidR="00A949AA" w:rsidRDefault="00A949AA" w:rsidP="001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5A9B"/>
    <w:multiLevelType w:val="hybridMultilevel"/>
    <w:tmpl w:val="43FC9734"/>
    <w:lvl w:ilvl="0" w:tplc="4F528D6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07"/>
    <w:rsid w:val="000C51E4"/>
    <w:rsid w:val="00183A44"/>
    <w:rsid w:val="0019550B"/>
    <w:rsid w:val="001F3BAF"/>
    <w:rsid w:val="00253DE1"/>
    <w:rsid w:val="00353609"/>
    <w:rsid w:val="00446B32"/>
    <w:rsid w:val="004A724B"/>
    <w:rsid w:val="005720AE"/>
    <w:rsid w:val="006B4018"/>
    <w:rsid w:val="00714139"/>
    <w:rsid w:val="00814DE8"/>
    <w:rsid w:val="00893A45"/>
    <w:rsid w:val="00895E04"/>
    <w:rsid w:val="009B55A8"/>
    <w:rsid w:val="00A949AA"/>
    <w:rsid w:val="00B04964"/>
    <w:rsid w:val="00B17468"/>
    <w:rsid w:val="00BE54EF"/>
    <w:rsid w:val="00E602DA"/>
    <w:rsid w:val="00EF6B47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54EF"/>
    <w:pPr>
      <w:numPr>
        <w:numId w:val="1"/>
      </w:numPr>
      <w:spacing w:after="0"/>
      <w:contextualSpacing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F"/>
  </w:style>
  <w:style w:type="paragraph" w:styleId="Footer">
    <w:name w:val="footer"/>
    <w:basedOn w:val="Normal"/>
    <w:link w:val="Foot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F"/>
  </w:style>
  <w:style w:type="character" w:customStyle="1" w:styleId="Heading1Char">
    <w:name w:val="Heading 1 Char"/>
    <w:basedOn w:val="DefaultParagraphFont"/>
    <w:link w:val="Heading1"/>
    <w:uiPriority w:val="9"/>
    <w:rsid w:val="00BE54E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4EF"/>
    <w:rPr>
      <w:rFonts w:asciiTheme="majorHAnsi" w:eastAsiaTheme="majorEastAsia" w:hAnsiTheme="majorHAnsi" w:cstheme="majorBidi"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4EF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F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clostridium-perfringe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DF8B-80A3-416C-AC48-965763467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5620A-CD1D-40AA-B439-A2F7DBFB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5e2d9-27c5-4c4f-bb6f-58b2139b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EC1B4-0A13-40AF-85D6-CC998E1F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Clostridium perfringens factsheet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Clostridium perfringens factsheet</dc:title>
  <dc:subject>HACCP</dc:subject>
  <dc:creator>Food Standards Agency</dc:creator>
  <cp:keywords/>
  <dc:description/>
  <cp:lastModifiedBy>Tatiana Grzegorzewska</cp:lastModifiedBy>
  <cp:revision>9</cp:revision>
  <dcterms:created xsi:type="dcterms:W3CDTF">2016-04-29T10:56:00Z</dcterms:created>
  <dcterms:modified xsi:type="dcterms:W3CDTF">2020-09-28T10:52:00Z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