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EAF1D" w14:textId="77777777" w:rsidR="00F44D07" w:rsidRPr="00F44D07" w:rsidRDefault="00F44D07" w:rsidP="00F44D07">
      <w:pPr>
        <w:keepNext/>
        <w:keepLines/>
        <w:spacing w:before="240" w:after="0"/>
        <w:outlineLvl w:val="0"/>
        <w:rPr>
          <w:rFonts w:asciiTheme="majorHAnsi" w:eastAsiaTheme="majorEastAsia" w:hAnsiTheme="majorHAnsi" w:cstheme="majorBidi"/>
          <w:b/>
          <w:color w:val="2E74B5" w:themeColor="accent1" w:themeShade="BF"/>
          <w:sz w:val="32"/>
          <w:szCs w:val="32"/>
        </w:rPr>
      </w:pPr>
      <w:r w:rsidRPr="00F44D07">
        <w:rPr>
          <w:rFonts w:asciiTheme="majorHAnsi" w:eastAsiaTheme="majorEastAsia" w:hAnsiTheme="majorHAnsi" w:cstheme="majorBidi"/>
          <w:b/>
          <w:noProof/>
          <w:color w:val="2E74B5" w:themeColor="accent1" w:themeShade="BF"/>
          <w:sz w:val="32"/>
          <w:szCs w:val="32"/>
          <w:lang w:eastAsia="en-GB"/>
        </w:rPr>
        <mc:AlternateContent>
          <mc:Choice Requires="wps">
            <w:drawing>
              <wp:anchor distT="0" distB="0" distL="114300" distR="114300" simplePos="0" relativeHeight="251659264" behindDoc="1" locked="0" layoutInCell="1" allowOverlap="1" wp14:anchorId="1D873137" wp14:editId="6677CA98">
                <wp:simplePos x="0" y="0"/>
                <wp:positionH relativeFrom="column">
                  <wp:posOffset>-22860</wp:posOffset>
                </wp:positionH>
                <wp:positionV relativeFrom="paragraph">
                  <wp:posOffset>68580</wp:posOffset>
                </wp:positionV>
                <wp:extent cx="6012180" cy="14249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6012180" cy="1424940"/>
                        </a:xfrm>
                        <a:prstGeom prst="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55959" id="Rectangle 1" o:spid="_x0000_s1026" style="position:absolute;margin-left:-1.8pt;margin-top:5.4pt;width:473.4pt;height:112.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" fillcolor="#deebf7" strokecolor="#4472c4" strokeweight="1pt"/>
            </w:pict>
          </mc:Fallback>
        </mc:AlternateContent>
      </w:r>
      <w:r w:rsidRPr="00F44D07">
        <w:rPr>
          <w:rFonts w:asciiTheme="majorHAnsi" w:eastAsiaTheme="majorEastAsia" w:hAnsiTheme="majorHAnsi" w:cstheme="majorBidi"/>
          <w:b/>
          <w:color w:val="2E74B5" w:themeColor="accent1" w:themeShade="BF"/>
          <w:sz w:val="32"/>
          <w:szCs w:val="32"/>
        </w:rPr>
        <w:t>MyHACCP Hazard Factsheet</w:t>
      </w:r>
    </w:p>
    <w:p w14:paraId="4C609605" w14:textId="77777777" w:rsidR="00F44D07" w:rsidRPr="00F44D07" w:rsidRDefault="00F44D07" w:rsidP="00F44D07"/>
    <w:p w14:paraId="30681748" w14:textId="24AB6D48" w:rsidR="00F44D07" w:rsidRPr="00F44D07" w:rsidRDefault="00F44D07" w:rsidP="00F44D07">
      <w:pPr>
        <w:keepNext/>
        <w:keepLines/>
        <w:spacing w:before="40" w:after="0"/>
        <w:outlineLvl w:val="1"/>
        <w:rPr>
          <w:rFonts w:asciiTheme="majorHAnsi" w:eastAsiaTheme="majorEastAsia" w:hAnsiTheme="majorHAnsi" w:cstheme="majorBidi"/>
          <w:color w:val="2E74B5" w:themeColor="accent1" w:themeShade="BF"/>
          <w:sz w:val="26"/>
          <w:szCs w:val="26"/>
        </w:rPr>
      </w:pPr>
      <w:r w:rsidRPr="00F44D07">
        <w:rPr>
          <w:rFonts w:asciiTheme="majorHAnsi" w:eastAsiaTheme="majorEastAsia" w:hAnsiTheme="majorHAnsi" w:cstheme="majorBidi"/>
          <w:b/>
          <w:color w:val="2E74B5" w:themeColor="accent1" w:themeShade="BF"/>
          <w:sz w:val="26"/>
          <w:szCs w:val="26"/>
        </w:rPr>
        <w:t>CATEGORY:</w:t>
      </w:r>
      <w:r w:rsidRPr="00F44D07">
        <w:rPr>
          <w:rFonts w:asciiTheme="majorHAnsi" w:eastAsiaTheme="majorEastAsia" w:hAnsiTheme="majorHAnsi" w:cstheme="majorBidi"/>
          <w:color w:val="2E74B5" w:themeColor="accent1" w:themeShade="BF"/>
          <w:sz w:val="26"/>
          <w:szCs w:val="26"/>
        </w:rPr>
        <w:t xml:space="preserve"> </w:t>
      </w:r>
      <w:r w:rsidR="00363A20">
        <w:rPr>
          <w:rFonts w:asciiTheme="majorHAnsi" w:eastAsiaTheme="majorEastAsia" w:hAnsiTheme="majorHAnsi" w:cstheme="majorBidi"/>
          <w:color w:val="2E74B5" w:themeColor="accent1" w:themeShade="BF"/>
          <w:sz w:val="26"/>
          <w:szCs w:val="26"/>
        </w:rPr>
        <w:t>Chemical</w:t>
      </w:r>
    </w:p>
    <w:p w14:paraId="2451FA5A" w14:textId="77777777" w:rsidR="00F44D07" w:rsidRPr="00F44D07" w:rsidRDefault="00F44D07" w:rsidP="00F44D07">
      <w:pPr>
        <w:keepNext/>
        <w:keepLines/>
        <w:spacing w:before="40" w:after="0"/>
        <w:outlineLvl w:val="1"/>
        <w:rPr>
          <w:rFonts w:asciiTheme="majorHAnsi" w:eastAsiaTheme="majorEastAsia" w:hAnsiTheme="majorHAnsi" w:cstheme="majorBidi"/>
          <w:color w:val="2E74B5" w:themeColor="accent1" w:themeShade="BF"/>
          <w:sz w:val="26"/>
          <w:szCs w:val="26"/>
        </w:rPr>
      </w:pPr>
    </w:p>
    <w:p w14:paraId="77FE1653" w14:textId="076BEC78" w:rsidR="00F44D07" w:rsidRPr="00F44D07" w:rsidRDefault="00F44D07" w:rsidP="00F44D07">
      <w:pPr>
        <w:keepNext/>
        <w:keepLines/>
        <w:spacing w:before="40" w:after="0"/>
        <w:outlineLvl w:val="1"/>
        <w:rPr>
          <w:rFonts w:asciiTheme="majorHAnsi" w:eastAsiaTheme="majorEastAsia" w:hAnsiTheme="majorHAnsi" w:cstheme="majorBidi"/>
          <w:color w:val="2E74B5" w:themeColor="accent1" w:themeShade="BF"/>
          <w:sz w:val="26"/>
          <w:szCs w:val="26"/>
        </w:rPr>
      </w:pPr>
      <w:r w:rsidRPr="00F44D07">
        <w:rPr>
          <w:rFonts w:asciiTheme="majorHAnsi" w:eastAsiaTheme="majorEastAsia" w:hAnsiTheme="majorHAnsi" w:cstheme="majorBidi"/>
          <w:b/>
          <w:color w:val="2E74B5" w:themeColor="accent1" w:themeShade="BF"/>
          <w:sz w:val="26"/>
          <w:szCs w:val="26"/>
        </w:rPr>
        <w:t>NAME:</w:t>
      </w:r>
      <w:r w:rsidRPr="00F44D07">
        <w:rPr>
          <w:rFonts w:asciiTheme="majorHAnsi" w:eastAsiaTheme="majorEastAsia" w:hAnsiTheme="majorHAnsi" w:cstheme="majorBidi"/>
          <w:color w:val="2E74B5" w:themeColor="accent1" w:themeShade="BF"/>
          <w:sz w:val="26"/>
          <w:szCs w:val="26"/>
        </w:rPr>
        <w:t xml:space="preserve"> </w:t>
      </w:r>
      <w:r w:rsidR="006D2E60">
        <w:rPr>
          <w:rFonts w:asciiTheme="majorHAnsi" w:eastAsiaTheme="majorEastAsia" w:hAnsiTheme="majorHAnsi" w:cstheme="majorBidi"/>
          <w:color w:val="2E74B5" w:themeColor="accent1" w:themeShade="BF"/>
          <w:sz w:val="26"/>
          <w:szCs w:val="26"/>
        </w:rPr>
        <w:t>Aflatoxins</w:t>
      </w:r>
    </w:p>
    <w:p w14:paraId="69AB60DE" w14:textId="77777777" w:rsidR="00F44D07" w:rsidRPr="00F44D07" w:rsidRDefault="00F44D07" w:rsidP="00F44D07"/>
    <w:p w14:paraId="6EB00215" w14:textId="77777777" w:rsidR="00F44D07" w:rsidRPr="00F44D07" w:rsidRDefault="00F44D07" w:rsidP="00F44D07">
      <w:pPr>
        <w:numPr>
          <w:ilvl w:val="0"/>
          <w:numId w:val="1"/>
        </w:numPr>
        <w:contextualSpacing/>
        <w:rPr>
          <w:b/>
        </w:rPr>
      </w:pPr>
      <w:r w:rsidRPr="00F44D07">
        <w:rPr>
          <w:b/>
        </w:rPr>
        <w:t>General Information</w:t>
      </w:r>
    </w:p>
    <w:p w14:paraId="74557CE0" w14:textId="2459BE3E" w:rsidR="00005482" w:rsidRPr="00B17468" w:rsidRDefault="0014541F" w:rsidP="00B17468">
      <w:r>
        <w:t xml:space="preserve">Aflatoxins are mycotoxins produced by the </w:t>
      </w:r>
      <w:r w:rsidRPr="0014541F">
        <w:rPr>
          <w:i/>
        </w:rPr>
        <w:t xml:space="preserve">Aspergillus </w:t>
      </w:r>
      <w:r w:rsidR="00BC0A6A">
        <w:t>mould</w:t>
      </w:r>
      <w:r>
        <w:t>. There are six different types of aflatoxin which listed in descending order of toxicity are: B</w:t>
      </w:r>
      <w:r w:rsidRPr="0014541F">
        <w:rPr>
          <w:vertAlign w:val="subscript"/>
        </w:rPr>
        <w:t>1</w:t>
      </w:r>
      <w:r>
        <w:t xml:space="preserve"> M</w:t>
      </w:r>
      <w:r w:rsidRPr="0014541F">
        <w:rPr>
          <w:vertAlign w:val="subscript"/>
        </w:rPr>
        <w:t>1</w:t>
      </w:r>
      <w:r>
        <w:t xml:space="preserve"> G</w:t>
      </w:r>
      <w:r w:rsidRPr="0014541F">
        <w:rPr>
          <w:vertAlign w:val="subscript"/>
        </w:rPr>
        <w:t>1</w:t>
      </w:r>
      <w:r>
        <w:t xml:space="preserve"> B</w:t>
      </w:r>
      <w:r w:rsidRPr="0014541F">
        <w:rPr>
          <w:vertAlign w:val="subscript"/>
        </w:rPr>
        <w:t>2</w:t>
      </w:r>
      <w:r>
        <w:t xml:space="preserve"> M</w:t>
      </w:r>
      <w:r w:rsidRPr="0014541F">
        <w:rPr>
          <w:vertAlign w:val="subscript"/>
        </w:rPr>
        <w:t>2</w:t>
      </w:r>
      <w:r>
        <w:rPr>
          <w:vertAlign w:val="subscript"/>
        </w:rPr>
        <w:t xml:space="preserve"> </w:t>
      </w:r>
      <w:r w:rsidRPr="0014541F">
        <w:t xml:space="preserve">and </w:t>
      </w:r>
      <w:r>
        <w:t>G</w:t>
      </w:r>
      <w:r w:rsidRPr="0014541F">
        <w:rPr>
          <w:vertAlign w:val="subscript"/>
        </w:rPr>
        <w:t>2</w:t>
      </w:r>
      <w:r>
        <w:t>.</w:t>
      </w:r>
      <w:r w:rsidR="000F6119">
        <w:t xml:space="preserve"> They can be carcinogenic and have been associated with liver disease. The toxin is produced by a mould and therefore steps taken to prevent mould growth will control the </w:t>
      </w:r>
      <w:r w:rsidR="00C80924">
        <w:t>hazard. Contaminated foods can be treated with steam to remove the toxin but not with chemical agents. Diluting of the toxin by addition of non-contaminated food to contaminated is also prohibited.</w:t>
      </w:r>
      <w:r w:rsidR="000F6119">
        <w:t xml:space="preserve"> </w:t>
      </w:r>
      <w:bookmarkStart w:id="0" w:name="_GoBack"/>
      <w:bookmarkEnd w:id="0"/>
    </w:p>
    <w:p w14:paraId="39CAA597" w14:textId="77777777" w:rsidR="00F44D07" w:rsidRDefault="00F44D07" w:rsidP="00F44D07">
      <w:pPr>
        <w:numPr>
          <w:ilvl w:val="0"/>
          <w:numId w:val="1"/>
        </w:numPr>
        <w:contextualSpacing/>
        <w:rPr>
          <w:b/>
        </w:rPr>
      </w:pPr>
      <w:r w:rsidRPr="00F44D07">
        <w:rPr>
          <w:b/>
        </w:rPr>
        <w:t>Common sources</w:t>
      </w:r>
    </w:p>
    <w:p w14:paraId="7DD67388" w14:textId="0765DFDC" w:rsidR="00F975E7" w:rsidRDefault="00F975E7" w:rsidP="006D2E60">
      <w:pPr>
        <w:contextualSpacing/>
      </w:pPr>
    </w:p>
    <w:p w14:paraId="26873211" w14:textId="77777777" w:rsidR="00BC0A6A" w:rsidRDefault="0014541F" w:rsidP="006D2E60">
      <w:pPr>
        <w:contextualSpacing/>
      </w:pPr>
      <w:r>
        <w:t>Aflatoxins can be produced on virtually any food where there are suitable conditions for mould growth. However, they are commonly associated with dried foods, especially those imported from countries with hot, humid climates such as</w:t>
      </w:r>
      <w:r w:rsidR="00BC0A6A">
        <w:t>:</w:t>
      </w:r>
    </w:p>
    <w:p w14:paraId="6A49B763" w14:textId="3E9F8CED" w:rsidR="0014541F" w:rsidRDefault="00BC0A6A" w:rsidP="00BC0A6A">
      <w:pPr>
        <w:pStyle w:val="ListParagraph"/>
        <w:numPr>
          <w:ilvl w:val="0"/>
          <w:numId w:val="3"/>
        </w:numPr>
      </w:pPr>
      <w:r>
        <w:t>Peanuts</w:t>
      </w:r>
    </w:p>
    <w:p w14:paraId="09EE2782" w14:textId="6200E02D" w:rsidR="000F6119" w:rsidRDefault="000F6119" w:rsidP="00BC0A6A">
      <w:pPr>
        <w:pStyle w:val="ListParagraph"/>
        <w:numPr>
          <w:ilvl w:val="0"/>
          <w:numId w:val="3"/>
        </w:numPr>
      </w:pPr>
      <w:r>
        <w:t>Maize and cereal grains</w:t>
      </w:r>
    </w:p>
    <w:p w14:paraId="56A4F6B0" w14:textId="65352B4B" w:rsidR="000F6119" w:rsidRDefault="000F6119" w:rsidP="00BC0A6A">
      <w:pPr>
        <w:pStyle w:val="ListParagraph"/>
        <w:numPr>
          <w:ilvl w:val="0"/>
          <w:numId w:val="3"/>
        </w:numPr>
      </w:pPr>
      <w:r>
        <w:t>Spices</w:t>
      </w:r>
    </w:p>
    <w:p w14:paraId="2CB05244" w14:textId="77777777" w:rsidR="006D2E60" w:rsidRPr="006D2E60" w:rsidRDefault="006D2E60" w:rsidP="006D2E60">
      <w:pPr>
        <w:contextualSpacing/>
        <w:rPr>
          <w:b/>
        </w:rPr>
      </w:pPr>
    </w:p>
    <w:p w14:paraId="54C83881" w14:textId="77777777" w:rsidR="00F44D07" w:rsidRDefault="00F44D07" w:rsidP="00F44D07">
      <w:pPr>
        <w:numPr>
          <w:ilvl w:val="0"/>
          <w:numId w:val="1"/>
        </w:numPr>
        <w:contextualSpacing/>
        <w:rPr>
          <w:b/>
        </w:rPr>
      </w:pPr>
      <w:r w:rsidRPr="00F44D07">
        <w:rPr>
          <w:b/>
        </w:rPr>
        <w:t>Properties and common controls</w:t>
      </w:r>
    </w:p>
    <w:p w14:paraId="1005E8A7" w14:textId="77777777" w:rsidR="00005482" w:rsidRPr="00F44D07" w:rsidRDefault="00005482" w:rsidP="00005482">
      <w:pPr>
        <w:ind w:left="360"/>
        <w:contextualSpacing/>
        <w:rPr>
          <w:b/>
        </w:rPr>
      </w:pPr>
    </w:p>
    <w:p w14:paraId="4D5D6BF3" w14:textId="2C954294" w:rsidR="00FA5876" w:rsidRDefault="00714139" w:rsidP="006D2E60">
      <w:pPr>
        <w:contextualSpacing/>
      </w:pPr>
      <w:r>
        <w:t xml:space="preserve">The </w:t>
      </w:r>
      <w:r w:rsidR="00BC0A6A">
        <w:t>most important factors affecting aflatoxin production are moisture and temperature. In optimal conditions ( 24-28</w:t>
      </w:r>
      <w:bookmarkStart w:id="1" w:name="_Hlk478711687"/>
      <w:r w:rsidR="00BC0A6A">
        <w:rPr>
          <w:rFonts w:cstheme="minorHAnsi"/>
        </w:rPr>
        <w:t>°</w:t>
      </w:r>
      <w:r w:rsidR="00BC0A6A">
        <w:t>C</w:t>
      </w:r>
      <w:bookmarkEnd w:id="1"/>
      <w:r w:rsidR="00BC0A6A">
        <w:t>, a</w:t>
      </w:r>
      <w:r w:rsidR="00BC0A6A" w:rsidRPr="00BC0A6A">
        <w:rPr>
          <w:vertAlign w:val="subscript"/>
        </w:rPr>
        <w:t>w</w:t>
      </w:r>
      <w:r w:rsidR="00BC0A6A">
        <w:t xml:space="preserve"> 0.94) growth of </w:t>
      </w:r>
      <w:r w:rsidR="00BC0A6A" w:rsidRPr="00BC0A6A">
        <w:rPr>
          <w:i/>
        </w:rPr>
        <w:t>Aspergillus</w:t>
      </w:r>
      <w:r w:rsidR="00BC0A6A">
        <w:t xml:space="preserve"> can occur within 24 hours but is most likely to occur within 4 to 10 days.</w:t>
      </w:r>
    </w:p>
    <w:p w14:paraId="7527FBE8" w14:textId="2A7C925C" w:rsidR="00BC0A6A" w:rsidRDefault="00BC0A6A" w:rsidP="006D2E60">
      <w:pPr>
        <w:contextualSpacing/>
      </w:pPr>
      <w:r>
        <w:t>Common controls for the prevention of growth of Aspergillus and aflatoxin production in food:</w:t>
      </w:r>
    </w:p>
    <w:p w14:paraId="1A606F3A" w14:textId="43CABC6B" w:rsidR="000F6119" w:rsidRDefault="000F6119" w:rsidP="00BC0A6A">
      <w:pPr>
        <w:pStyle w:val="ListParagraph"/>
        <w:numPr>
          <w:ilvl w:val="0"/>
          <w:numId w:val="3"/>
        </w:numPr>
      </w:pPr>
      <w:r>
        <w:t>Good harvesting, storage and handling practices.</w:t>
      </w:r>
    </w:p>
    <w:p w14:paraId="53AB20B3" w14:textId="3D1A172C" w:rsidR="000F6119" w:rsidRDefault="000F6119" w:rsidP="000F6119">
      <w:pPr>
        <w:pStyle w:val="ListParagraph"/>
        <w:numPr>
          <w:ilvl w:val="1"/>
          <w:numId w:val="3"/>
        </w:numPr>
      </w:pPr>
      <w:r>
        <w:t>Keep foods dry, well aired and in pest free conditions.</w:t>
      </w:r>
    </w:p>
    <w:p w14:paraId="0807AE3D" w14:textId="33E1B7EC" w:rsidR="00BC0A6A" w:rsidRDefault="00BC0A6A" w:rsidP="00BC0A6A">
      <w:pPr>
        <w:pStyle w:val="ListParagraph"/>
        <w:numPr>
          <w:ilvl w:val="0"/>
          <w:numId w:val="3"/>
        </w:numPr>
      </w:pPr>
      <w:r>
        <w:t xml:space="preserve">Storage temperature </w:t>
      </w:r>
      <w:r w:rsidR="00FA2D8B">
        <w:t>o</w:t>
      </w:r>
      <w:r w:rsidR="000F6119">
        <w:t>f food at a maximum of 8</w:t>
      </w:r>
      <w:r w:rsidR="000F6119" w:rsidRPr="000F6119">
        <w:t>°C</w:t>
      </w:r>
    </w:p>
    <w:p w14:paraId="4AB7BDFA" w14:textId="2208B313" w:rsidR="000F6119" w:rsidRDefault="000F6119" w:rsidP="00BC0A6A">
      <w:pPr>
        <w:pStyle w:val="ListParagraph"/>
        <w:numPr>
          <w:ilvl w:val="0"/>
          <w:numId w:val="3"/>
        </w:numPr>
      </w:pPr>
      <w:r>
        <w:t>Aw of 0.70</w:t>
      </w:r>
    </w:p>
    <w:p w14:paraId="42CA9C12" w14:textId="59E3087C" w:rsidR="000F6119" w:rsidRDefault="000F6119" w:rsidP="000F6119">
      <w:pPr>
        <w:pStyle w:val="ListParagraph"/>
        <w:numPr>
          <w:ilvl w:val="1"/>
          <w:numId w:val="3"/>
        </w:numPr>
      </w:pPr>
      <w:r>
        <w:t>This can be assessed as the moisture content of the food and will vary depending on the food and temperature. Some example control moisture contents at 20</w:t>
      </w:r>
      <w:r w:rsidRPr="000F6119">
        <w:t>°C</w:t>
      </w:r>
      <w:r>
        <w:t xml:space="preserve"> are:</w:t>
      </w:r>
    </w:p>
    <w:p w14:paraId="75C953BC" w14:textId="38398FC3" w:rsidR="000F6119" w:rsidRDefault="000F6119" w:rsidP="000F6119">
      <w:pPr>
        <w:pStyle w:val="ListParagraph"/>
        <w:numPr>
          <w:ilvl w:val="2"/>
          <w:numId w:val="3"/>
        </w:numPr>
      </w:pPr>
      <w:r>
        <w:t>Maize 15%</w:t>
      </w:r>
    </w:p>
    <w:p w14:paraId="134CF233" w14:textId="66E37229" w:rsidR="000F6119" w:rsidRPr="00F44D07" w:rsidRDefault="000F6119" w:rsidP="000F6119">
      <w:pPr>
        <w:pStyle w:val="ListParagraph"/>
        <w:numPr>
          <w:ilvl w:val="2"/>
          <w:numId w:val="3"/>
        </w:numPr>
      </w:pPr>
      <w:r>
        <w:t>Peanuts 7%</w:t>
      </w:r>
    </w:p>
    <w:p w14:paraId="65213EBF" w14:textId="77777777" w:rsidR="00F44D07" w:rsidRPr="00F44D07" w:rsidRDefault="00F44D07" w:rsidP="00F44D07">
      <w:pPr>
        <w:contextualSpacing/>
      </w:pPr>
    </w:p>
    <w:p w14:paraId="6458749E" w14:textId="7E563488" w:rsidR="00B17468" w:rsidRDefault="00F44D07" w:rsidP="0019550B">
      <w:pPr>
        <w:numPr>
          <w:ilvl w:val="0"/>
          <w:numId w:val="1"/>
        </w:numPr>
        <w:contextualSpacing/>
        <w:rPr>
          <w:b/>
        </w:rPr>
      </w:pPr>
      <w:r w:rsidRPr="00F44D07">
        <w:rPr>
          <w:b/>
        </w:rPr>
        <w:t>References</w:t>
      </w:r>
    </w:p>
    <w:p w14:paraId="15DF3891" w14:textId="77777777" w:rsidR="009B55A8" w:rsidRDefault="009B55A8" w:rsidP="009B55A8">
      <w:pPr>
        <w:ind w:left="360"/>
        <w:contextualSpacing/>
        <w:rPr>
          <w:b/>
        </w:rPr>
      </w:pPr>
    </w:p>
    <w:p w14:paraId="48264FEA" w14:textId="42B5F11E" w:rsidR="009B55A8" w:rsidRDefault="000F6119" w:rsidP="009B55A8">
      <w:pPr>
        <w:contextualSpacing/>
        <w:rPr>
          <w:bCs/>
        </w:rPr>
      </w:pPr>
      <w:r w:rsidRPr="000F6119">
        <w:rPr>
          <w:bCs/>
        </w:rPr>
        <w:t>Manual on the Application of the HACCP System in Mycotoxin Prevention and Control</w:t>
      </w:r>
      <w:r>
        <w:rPr>
          <w:bCs/>
        </w:rPr>
        <w:t xml:space="preserve"> (FAO)</w:t>
      </w:r>
    </w:p>
    <w:p w14:paraId="58EFF58C" w14:textId="362A8F0F" w:rsidR="000F6119" w:rsidRPr="000F6119" w:rsidRDefault="000F6119" w:rsidP="009B55A8">
      <w:pPr>
        <w:contextualSpacing/>
      </w:pPr>
      <w:hyperlink r:id="rId11" w:history="1">
        <w:r w:rsidRPr="00560657">
          <w:rPr>
            <w:rStyle w:val="Hyperlink"/>
          </w:rPr>
          <w:t>http://www.fao.org/docrep/005/y1390e/y1390e00.htm</w:t>
        </w:r>
      </w:hyperlink>
      <w:r>
        <w:t xml:space="preserve"> </w:t>
      </w:r>
    </w:p>
    <w:p w14:paraId="10E00CC2" w14:textId="77777777" w:rsidR="009B55A8" w:rsidRPr="009B55A8" w:rsidRDefault="009B55A8" w:rsidP="009B55A8">
      <w:pPr>
        <w:ind w:left="360"/>
        <w:contextualSpacing/>
        <w:rPr>
          <w:b/>
        </w:rPr>
      </w:pPr>
    </w:p>
    <w:sectPr w:rsidR="009B55A8" w:rsidRPr="009B55A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D04DA" w14:textId="77777777" w:rsidR="001F3BAF" w:rsidRDefault="001F3BAF" w:rsidP="001F3BAF">
      <w:pPr>
        <w:spacing w:after="0" w:line="240" w:lineRule="auto"/>
      </w:pPr>
      <w:r>
        <w:separator/>
      </w:r>
    </w:p>
  </w:endnote>
  <w:endnote w:type="continuationSeparator" w:id="0">
    <w:p w14:paraId="34D455AE" w14:textId="77777777" w:rsidR="001F3BAF" w:rsidRDefault="001F3BAF" w:rsidP="001F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F9AC" w14:textId="3E87ABA2" w:rsidR="001F3BAF" w:rsidRDefault="001F3BAF">
    <w:pPr>
      <w:pStyle w:val="Footer"/>
    </w:pPr>
    <w:r>
      <w:t>Information in this factsheet is intended for quick reference only to help in the identification and control of common hazards.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AF39" w14:textId="77777777" w:rsidR="001F3BAF" w:rsidRDefault="001F3BAF" w:rsidP="001F3BAF">
      <w:pPr>
        <w:spacing w:after="0" w:line="240" w:lineRule="auto"/>
      </w:pPr>
      <w:r>
        <w:separator/>
      </w:r>
    </w:p>
  </w:footnote>
  <w:footnote w:type="continuationSeparator" w:id="0">
    <w:p w14:paraId="763299C6" w14:textId="77777777" w:rsidR="001F3BAF" w:rsidRDefault="001F3BAF" w:rsidP="001F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81578"/>
    <w:multiLevelType w:val="hybridMultilevel"/>
    <w:tmpl w:val="C6E48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65A9B"/>
    <w:multiLevelType w:val="hybridMultilevel"/>
    <w:tmpl w:val="7DD6E2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1D4E58"/>
    <w:multiLevelType w:val="hybridMultilevel"/>
    <w:tmpl w:val="8E54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07"/>
    <w:rsid w:val="00005482"/>
    <w:rsid w:val="00030068"/>
    <w:rsid w:val="000F6119"/>
    <w:rsid w:val="0014541F"/>
    <w:rsid w:val="0019550B"/>
    <w:rsid w:val="001F3BAF"/>
    <w:rsid w:val="00253DE1"/>
    <w:rsid w:val="00353609"/>
    <w:rsid w:val="00363A20"/>
    <w:rsid w:val="00446B32"/>
    <w:rsid w:val="004A724B"/>
    <w:rsid w:val="005720AE"/>
    <w:rsid w:val="006B4018"/>
    <w:rsid w:val="006D2E60"/>
    <w:rsid w:val="00714139"/>
    <w:rsid w:val="00814DE8"/>
    <w:rsid w:val="00893A45"/>
    <w:rsid w:val="00895E04"/>
    <w:rsid w:val="009B55A8"/>
    <w:rsid w:val="00AE387F"/>
    <w:rsid w:val="00B17468"/>
    <w:rsid w:val="00BC0A6A"/>
    <w:rsid w:val="00C80924"/>
    <w:rsid w:val="00E602DA"/>
    <w:rsid w:val="00F44D07"/>
    <w:rsid w:val="00F975E7"/>
    <w:rsid w:val="00FA2D8B"/>
    <w:rsid w:val="00FA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7A06"/>
  <w15:chartTrackingRefBased/>
  <w15:docId w15:val="{7B3ADA2B-A747-46D1-AF27-98DF24C4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A45"/>
    <w:rPr>
      <w:color w:val="0563C1" w:themeColor="hyperlink"/>
      <w:u w:val="single"/>
    </w:rPr>
  </w:style>
  <w:style w:type="paragraph" w:styleId="Header">
    <w:name w:val="header"/>
    <w:basedOn w:val="Normal"/>
    <w:link w:val="HeaderChar"/>
    <w:uiPriority w:val="99"/>
    <w:unhideWhenUsed/>
    <w:rsid w:val="001F3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BAF"/>
  </w:style>
  <w:style w:type="paragraph" w:styleId="Footer">
    <w:name w:val="footer"/>
    <w:basedOn w:val="Normal"/>
    <w:link w:val="FooterChar"/>
    <w:uiPriority w:val="99"/>
    <w:unhideWhenUsed/>
    <w:rsid w:val="001F3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BAF"/>
  </w:style>
  <w:style w:type="paragraph" w:styleId="ListParagraph">
    <w:name w:val="List Paragraph"/>
    <w:basedOn w:val="Normal"/>
    <w:uiPriority w:val="34"/>
    <w:qFormat/>
    <w:rsid w:val="00BC0A6A"/>
    <w:pPr>
      <w:ind w:left="720"/>
      <w:contextualSpacing/>
    </w:pPr>
  </w:style>
  <w:style w:type="character" w:styleId="Mention">
    <w:name w:val="Mention"/>
    <w:basedOn w:val="DefaultParagraphFont"/>
    <w:uiPriority w:val="99"/>
    <w:semiHidden/>
    <w:unhideWhenUsed/>
    <w:rsid w:val="000F61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docrep/005/y1390e/y1390e00.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AEF916046B459AEF1F8501DE50E8" ma:contentTypeVersion="4" ma:contentTypeDescription="Create a new document." ma:contentTypeScope="" ma:versionID="bfbf7643e112343739e2d0face05bc20">
  <xsd:schema xmlns:xsd="http://www.w3.org/2001/XMLSchema" xmlns:xs="http://www.w3.org/2001/XMLSchema" xmlns:p="http://schemas.microsoft.com/office/2006/metadata/properties" xmlns:ns2="7465e2d9-27c5-4c4f-bb6f-58b2139b2fc4" targetNamespace="http://schemas.microsoft.com/office/2006/metadata/properties" ma:root="true" ma:fieldsID="c7b3acde2c02fa4cfabf4ed3d284fe94" ns2:_="">
    <xsd:import namespace="7465e2d9-27c5-4c4f-bb6f-58b2139b2f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5e2d9-27c5-4c4f-bb6f-58b2139b2f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DF8B-80A3-416C-AC48-9657634676C1}">
  <ds:schemaRefs>
    <ds:schemaRef ds:uri="http://purl.org/dc/elements/1.1/"/>
    <ds:schemaRef ds:uri="http://schemas.microsoft.com/office/2006/metadata/properties"/>
    <ds:schemaRef ds:uri="http://purl.org/dc/terms/"/>
    <ds:schemaRef ds:uri="7465e2d9-27c5-4c4f-bb6f-58b2139b2fc4"/>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64E1977-BC5F-42D6-AEFA-12FF0175902B}">
  <ds:schemaRefs>
    <ds:schemaRef ds:uri="http://schemas.microsoft.com/sharepoint/v3/contenttype/forms"/>
  </ds:schemaRefs>
</ds:datastoreItem>
</file>

<file path=customXml/itemProps3.xml><?xml version="1.0" encoding="utf-8"?>
<ds:datastoreItem xmlns:ds="http://schemas.openxmlformats.org/officeDocument/2006/customXml" ds:itemID="{90D33932-5792-4DC3-9A23-E52E32D60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5e2d9-27c5-4c4f-bb6f-58b2139b2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B1C34-67BD-41DB-B5C7-A94D4A86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Bowles</dc:creator>
  <cp:keywords/>
  <dc:description/>
  <cp:lastModifiedBy>Andy Bowles</cp:lastModifiedBy>
  <cp:revision>5</cp:revision>
  <dcterms:created xsi:type="dcterms:W3CDTF">2016-04-29T11:33:00Z</dcterms:created>
  <dcterms:modified xsi:type="dcterms:W3CDTF">2017-03-31T07:32:00Z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0x0101009BC1AEF916046B459AEF1F8501DE50E8</vt:lpwstr>
  </property>
</Properties>
</file>